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26"/>
          <w:szCs w:val="26"/>
        </w:rPr>
        <w:t xml:space="preserve">GLOBALSCIENCEHUB.UZ PLATFORMASIDA JURNAL SAYTINI JOYLASHTIRISH VA OYLIK TEXNIK XIZMAT KO‘RSATISH</w:t>
      </w:r>
    </w:p>
    <w:p>
      <w:pPr>
        <w:spacing w:after="260"/>
        <w:jc w:val="center"/>
      </w:pPr>
      <w:r>
        <w:rPr>
          <w:rFonts w:ascii="Times New Roman" w:cs="Times New Roman" w:eastAsia="Times New Roman" w:hAnsi="Times New Roman"/>
          <w:b/>
          <w:bCs/>
          <w:sz w:val="26"/>
          <w:szCs w:val="26"/>
        </w:rPr>
        <w:t xml:space="preserve">TO‘G‘RISIDA SHARTNOMA № [ ]</w:t>
      </w:r>
    </w:p>
    <w:tbl>
      <w:tblPr>
        <w:tblW w:type="pct" w:w="100%"/>
        <w:tblBorders>
          <w:top w:val="none"/>
          <w:left w:val="none"/>
          <w:bottom w:val="none"/>
          <w:right w:val="none"/>
          <w:insideH w:val="none"/>
          <w:insideV w:val="none"/>
        </w:tblBorders>
      </w:tblPr>
      <w:tblGrid>
        <w:gridCol w:w="100"/>
        <w:gridCol w:w="100"/>
      </w:tblGrid>
      <w:tr>
        <w:tc>
          <w:tcPr>
            <w:tcW w:type="pct" w:w="50%"/>
          </w:tcPr>
          <w:p>
            <w:pPr>
              <w:spacing w:after="0"/>
              <w:jc w:val="left"/>
            </w:pPr>
            <w:r>
              <w:rPr>
                <w:rFonts w:ascii="Times New Roman" w:cs="Times New Roman" w:eastAsia="Times New Roman" w:hAnsi="Times New Roman"/>
                <w:b w:val="false"/>
                <w:bCs w:val="false"/>
                <w:i w:val="false"/>
                <w:iCs w:val="false"/>
                <w:sz w:val="22"/>
                <w:szCs w:val="22"/>
              </w:rPr>
              <w:t xml:space="preserve">Qarshi sh.</w:t>
            </w:r>
          </w:p>
        </w:tc>
        <w:tc>
          <w:tcPr>
            <w:tcW w:type="pct" w:w="50%"/>
          </w:tcPr>
          <w:p>
            <w:pPr>
              <w:spacing w:after="0"/>
              <w:jc w:val="right"/>
            </w:pPr>
            <w:r>
              <w:rPr>
                <w:rFonts w:ascii="Times New Roman" w:cs="Times New Roman" w:eastAsia="Times New Roman" w:hAnsi="Times New Roman"/>
                <w:b w:val="false"/>
                <w:bCs w:val="false"/>
                <w:i w:val="false"/>
                <w:iCs w:val="false"/>
                <w:sz w:val="22"/>
                <w:szCs w:val="22"/>
              </w:rPr>
              <w:t xml:space="preserve">“[ ]” “[ ]” 2026 yil</w:t>
            </w:r>
          </w:p>
        </w:tc>
      </w:tr>
    </w:tbl>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“RUM PUBLISHING GROUP” MAS’ULIYATI CHEKLANGAN JAMIYATI (STIR 312893995) nomidan Ustav asosida ish yurituvchi direktor I.A.Yormurotov shaxsida (bundan buyon matnda “Ijrochi” deb yuritiladi), bir tomondan, va [BUYURTMACHI TASHKILOT TO‘LIQ NOMI] (STIR [ ]) nomidan [Ustav / Nizom] asosida ish yurituvchi [lavozimi] [F.I.Sh.] shaxsida (bundan buyon matnda “Buyurtmachi” deb yuritiladi), ikkinchi tomondan, birgalikda “Tomonlar”, alohida-alohida “Tomon” deb yuritilib, quyidagilar to‘g‘risida ushbu Shartnomani (bundan buyon — “Shartnoma”) tuzdilar.</w:t>
      </w:r>
    </w:p>
    <w:p>
      <w:pPr>
        <w:spacing w:after="160" w:before="320"/>
      </w:pPr>
      <w:r>
        <w:rPr>
          <w:rFonts w:ascii="Times New Roman" w:cs="Times New Roman" w:eastAsia="Times New Roman" w:hAnsi="Times New Roman"/>
          <w:b/>
          <w:bCs/>
          <w:sz w:val="24"/>
          <w:szCs w:val="24"/>
        </w:rPr>
        <w:t xml:space="preserve">1. SHARTNOMA PREDMETI</w:t>
      </w:r>
    </w:p>
    <w:p>
      <w:pPr>
        <w:spacing w:after="160"/>
        <w:jc w:val="both"/>
      </w:pPr>
      <w:r>
        <w:rPr>
          <w:rFonts w:ascii="Times New Roman" w:cs="Times New Roman" w:eastAsia="Times New Roman" w:hAnsi="Times New Roman"/>
          <w:b w:val="false"/>
          <w:bCs w:val="false"/>
          <w:i w:val="false"/>
          <w:iCs w:val="false"/>
          <w:sz w:val="22"/>
          <w:szCs w:val="22"/>
        </w:rPr>
        <w:t xml:space="preserve">1.1. Ijrochi Buyurtmachiga O‘zbekiston Respublikasi qonunchiligiga muvofiq, Buyurtmachining ilmiy jurnalini Ijrochiga tegishli globalsciencehub.uz ko‘p jurnalli platformasida joylashtirish (bir martalik ishga tushirish) hamda Buyurtmachi tanlagan tarifga muvofiq oylik texnik xizmat ko‘rsatish xizmatini (bundan buyon — “Xizmat”) ko‘rsatishni o‘z zimmasiga oladi, Buyurtmachi esa ushbu Xizmat uchun Shartnomada belgilangan tartib va shartlarda haq to‘lashni o‘z zimmasiga oladi.</w:t>
      </w:r>
    </w:p>
    <w:p>
      <w:pPr>
        <w:spacing w:after="160"/>
        <w:jc w:val="both"/>
      </w:pPr>
      <w:r>
        <w:rPr>
          <w:rFonts w:ascii="Times New Roman" w:cs="Times New Roman" w:eastAsia="Times New Roman" w:hAnsi="Times New Roman"/>
          <w:b w:val="false"/>
          <w:bCs w:val="false"/>
          <w:i w:val="false"/>
          <w:iCs w:val="false"/>
          <w:sz w:val="22"/>
          <w:szCs w:val="22"/>
        </w:rPr>
        <w:t xml:space="preserve">1.2. Xizmat globalsciencehub.uz — Ijrochiga tegishli, bir nechta jurnalni birlashtiruvchi platformada amalga oshiriladi. Buyurtmachiga alohida domen ajratilmaydi, uning uchun mustaqil sayt yaratilmaydi va alohida hosting xizmati taqdim etilmaydi — bunday xizmatlar ushbu Shartnoma doirasiga kirmaydi va, agar Buyurtmachi xohlasa, alohida shartnoma asosida tanlanadi.</w:t>
      </w:r>
    </w:p>
    <w:p>
      <w:pPr>
        <w:spacing w:after="160"/>
        <w:jc w:val="both"/>
      </w:pPr>
      <w:r>
        <w:rPr>
          <w:rFonts w:ascii="Times New Roman" w:cs="Times New Roman" w:eastAsia="Times New Roman" w:hAnsi="Times New Roman"/>
          <w:b w:val="false"/>
          <w:bCs w:val="false"/>
          <w:i w:val="false"/>
          <w:iCs w:val="false"/>
          <w:sz w:val="22"/>
          <w:szCs w:val="22"/>
        </w:rPr>
        <w:t xml:space="preserve">1.3. Buyurtmachi ushbu Shartnomaga 1-ilova sifatida biriktirilgan “Tariflar jadvali”da ko‘rsatilgan uchta tarifdan (Basic, Standard, Premium) birini tanlaydi. Tanlangan tarif tarkibi, xotira va texnik topshiriqlar limiti hamda oylik narxi 1-ilovada aniq belgilanadi va Shartnomaning ajralmas qismini tashkil etadi.</w:t>
      </w:r>
    </w:p>
    <w:p>
      <w:pPr>
        <w:spacing w:after="160"/>
        <w:jc w:val="both"/>
      </w:pPr>
      <w:r>
        <w:rPr>
          <w:rFonts w:ascii="Times New Roman" w:cs="Times New Roman" w:eastAsia="Times New Roman" w:hAnsi="Times New Roman"/>
          <w:b w:val="false"/>
          <w:bCs w:val="false"/>
          <w:i w:val="false"/>
          <w:iCs w:val="false"/>
          <w:sz w:val="22"/>
          <w:szCs w:val="22"/>
        </w:rPr>
        <w:t xml:space="preserve">1.4. Tomonlar tanlagan tarif: ___________________________ (kerakli nomi yozib qo‘yiladi).</w:t>
      </w:r>
    </w:p>
    <w:p>
      <w:pPr>
        <w:spacing w:after="160"/>
        <w:jc w:val="both"/>
      </w:pPr>
      <w:r>
        <w:rPr>
          <w:rFonts w:ascii="Times New Roman" w:cs="Times New Roman" w:eastAsia="Times New Roman" w:hAnsi="Times New Roman"/>
          <w:b w:val="false"/>
          <w:bCs w:val="false"/>
          <w:i w:val="false"/>
          <w:iCs w:val="false"/>
          <w:sz w:val="22"/>
          <w:szCs w:val="22"/>
        </w:rPr>
        <w:t xml:space="preserve">1.5. Maqolalarni jurnal saytiga yuklash, taqrizlash jarayonini yuritish va boshqa muharrirlik-nashriyot vazifalarini Buyurtmachi mustaqil ravishda amalga oshiradi. Ijrochi faqat platformaning texnik ishlashi, xavfsizligi va ushbu Shartnomada nazarda tutilgan texnik topshiriqlar uchun javobgardir.</w:t>
      </w:r>
    </w:p>
    <w:p>
      <w:pPr>
        <w:spacing w:after="160" w:before="320"/>
      </w:pPr>
      <w:r>
        <w:rPr>
          <w:rFonts w:ascii="Times New Roman" w:cs="Times New Roman" w:eastAsia="Times New Roman" w:hAnsi="Times New Roman"/>
          <w:b/>
          <w:bCs/>
          <w:sz w:val="24"/>
          <w:szCs w:val="24"/>
        </w:rPr>
        <w:t xml:space="preserve">2. XIZMATNING BAJARILISH TARTIBI VA MUDDATLARI</w:t>
      </w:r>
    </w:p>
    <w:p>
      <w:pPr>
        <w:spacing w:after="160"/>
        <w:jc w:val="both"/>
      </w:pPr>
      <w:r>
        <w:rPr>
          <w:rFonts w:ascii="Times New Roman" w:cs="Times New Roman" w:eastAsia="Times New Roman" w:hAnsi="Times New Roman"/>
          <w:b w:val="false"/>
          <w:bCs w:val="false"/>
          <w:i w:val="false"/>
          <w:iCs w:val="false"/>
          <w:sz w:val="22"/>
          <w:szCs w:val="22"/>
        </w:rPr>
        <w:t xml:space="preserve">2.1. Boshlang‘ich joylashtirish (onboarding) ishlari — jurnalni platformaga joylashtirish, dastlabki sozlash va ishga tushirish — Buyurtmachi tomonidan 2.2-bandda ko‘rsatilgan materiallar taqdim etilgan va birinchi oylik to‘lov (3-bo‘lim) amalga oshirilgan kundan boshlab 5 (besh) ish kuni ichida bajariladi.</w:t>
      </w:r>
    </w:p>
    <w:p>
      <w:pPr>
        <w:spacing w:after="160"/>
        <w:jc w:val="both"/>
      </w:pPr>
      <w:r>
        <w:rPr>
          <w:rFonts w:ascii="Times New Roman" w:cs="Times New Roman" w:eastAsia="Times New Roman" w:hAnsi="Times New Roman"/>
          <w:b w:val="false"/>
          <w:bCs w:val="false"/>
          <w:i w:val="false"/>
          <w:iCs w:val="false"/>
          <w:sz w:val="22"/>
          <w:szCs w:val="22"/>
        </w:rPr>
        <w:t xml:space="preserve">2.2. Buyurtmachi Shartnoma imzolangan kundan boshlab 3 (uch) ish kuni ichida Ijrochiga jurnal matnlari, logotip, muharrirlar ro‘yxati va boshqa zarur ma’lumotlarni taqdim etadi.</w:t>
      </w:r>
    </w:p>
    <w:p>
      <w:pPr>
        <w:spacing w:after="160"/>
        <w:jc w:val="both"/>
      </w:pPr>
      <w:r>
        <w:rPr>
          <w:rFonts w:ascii="Times New Roman" w:cs="Times New Roman" w:eastAsia="Times New Roman" w:hAnsi="Times New Roman"/>
          <w:b w:val="false"/>
          <w:bCs w:val="false"/>
          <w:i w:val="false"/>
          <w:iCs w:val="false"/>
          <w:sz w:val="22"/>
          <w:szCs w:val="22"/>
        </w:rPr>
        <w:t xml:space="preserve">2.3. Sayt ishga tushirilgandan so‘ng, oylik texnik topshiriqlar (kichik texnik o‘zgartirishlar, texnik yordam) tanlangan tarifda belgilangan oylik limit doirasida, odatda 2 (ikki) ish kuni ichida ko‘rib chiqiladi va bajariladi. Murakkab topshiriqlar uchun muddat Tomonlar tomonidan alohida kelishiladi.</w:t>
      </w:r>
    </w:p>
    <w:p>
      <w:pPr>
        <w:spacing w:after="160"/>
        <w:jc w:val="both"/>
      </w:pPr>
      <w:r>
        <w:rPr>
          <w:rFonts w:ascii="Times New Roman" w:cs="Times New Roman" w:eastAsia="Times New Roman" w:hAnsi="Times New Roman"/>
          <w:b w:val="false"/>
          <w:bCs w:val="false"/>
          <w:i w:val="false"/>
          <w:iCs w:val="false"/>
          <w:sz w:val="22"/>
          <w:szCs w:val="22"/>
        </w:rPr>
        <w:t xml:space="preserve">2.4. Tanlangan tarifda belgilangan oylik texnik topshiriqlar limiti keyingi oyga o‘tkazilmaydi. Limitdan ortiq topshiriqlar, Tomonlar kelishgan taqdirda, qo‘shimcha haq evaziga bajarilishi mumkin.</w:t>
      </w:r>
    </w:p>
    <w:p>
      <w:pPr>
        <w:spacing w:after="160" w:before="320"/>
      </w:pPr>
      <w:r>
        <w:rPr>
          <w:rFonts w:ascii="Times New Roman" w:cs="Times New Roman" w:eastAsia="Times New Roman" w:hAnsi="Times New Roman"/>
          <w:b/>
          <w:bCs/>
          <w:sz w:val="24"/>
          <w:szCs w:val="24"/>
        </w:rPr>
        <w:t xml:space="preserve">3. SHARTNOMA NARXI VA TO‘LOV TARTIBI</w:t>
      </w:r>
    </w:p>
    <w:p>
      <w:pPr>
        <w:spacing w:after="160"/>
        <w:jc w:val="both"/>
      </w:pPr>
      <w:r>
        <w:rPr>
          <w:rFonts w:ascii="Times New Roman" w:cs="Times New Roman" w:eastAsia="Times New Roman" w:hAnsi="Times New Roman"/>
          <w:b w:val="false"/>
          <w:bCs w:val="false"/>
          <w:i w:val="false"/>
          <w:iCs w:val="false"/>
          <w:sz w:val="22"/>
          <w:szCs w:val="22"/>
        </w:rPr>
        <w:t xml:space="preserve">3.1. Tanlangan tarif bo‘yicha Xizmatning oylik narxi 1-ilovada belgilanadi va O‘zbekiston Respublikasi soliq qonunchiligiga muvofiq [QQS kiritilgan / QQS kiritilmagan — kerakli variant belgilanadi].</w:t>
      </w:r>
    </w:p>
    <w:p>
      <w:pPr>
        <w:spacing w:after="160"/>
        <w:jc w:val="both"/>
      </w:pPr>
      <w:r>
        <w:rPr>
          <w:rFonts w:ascii="Times New Roman" w:cs="Times New Roman" w:eastAsia="Times New Roman" w:hAnsi="Times New Roman"/>
          <w:b w:val="false"/>
          <w:bCs w:val="false"/>
          <w:i w:val="false"/>
          <w:iCs w:val="false"/>
          <w:sz w:val="22"/>
          <w:szCs w:val="22"/>
        </w:rPr>
        <w:t xml:space="preserve">3.2. Birinchi oy uchun to‘lov 1-ilovada ko‘rsatilgan chegirmali narxda amalga oshiriladi. Ikkinchi oydan boshlab, har bir keyingi oy uchun to‘lov 1-ilovada ko‘rsatilgan to‘liq (chegirmasiz) narxda amalga oshiriladi.</w:t>
      </w:r>
    </w:p>
    <w:p>
      <w:pPr>
        <w:spacing w:after="160"/>
        <w:jc w:val="both"/>
      </w:pPr>
      <w:r>
        <w:rPr>
          <w:rFonts w:ascii="Times New Roman" w:cs="Times New Roman" w:eastAsia="Times New Roman" w:hAnsi="Times New Roman"/>
          <w:b w:val="false"/>
          <w:bCs w:val="false"/>
          <w:i w:val="false"/>
          <w:iCs w:val="false"/>
          <w:sz w:val="22"/>
          <w:szCs w:val="22"/>
        </w:rPr>
        <w:t xml:space="preserve">3.3. Oylik to‘lov har bir hisobot oyi boshlanishidan oldin, Ijrochi taqdim etadigan hisob-varaqa (invoys) asosida, naqd pulsiz hisob-kitob orqali Ijrochining bank hisob raqamiga o‘tkaziladi.</w:t>
      </w:r>
    </w:p>
    <w:p>
      <w:pPr>
        <w:spacing w:after="160"/>
        <w:jc w:val="both"/>
      </w:pPr>
      <w:r>
        <w:rPr>
          <w:rFonts w:ascii="Times New Roman" w:cs="Times New Roman" w:eastAsia="Times New Roman" w:hAnsi="Times New Roman"/>
          <w:b w:val="false"/>
          <w:bCs w:val="false"/>
          <w:i w:val="false"/>
          <w:iCs w:val="false"/>
          <w:sz w:val="22"/>
          <w:szCs w:val="22"/>
        </w:rPr>
        <w:t xml:space="preserve">3.4. To‘lov 5 (besh) kalendar kundan ortiq kechiktirilsa, Ijrochi Xizmat ko‘rsatishni to‘xtatib turishga (suspend) haqli; qarzdorlik to‘liq yopilgandan so‘ng, Xizmat 1 (bir) ish kuni ichida tiklanadi.</w:t>
      </w:r>
    </w:p>
    <w:p>
      <w:pPr>
        <w:spacing w:after="160"/>
        <w:jc w:val="both"/>
      </w:pPr>
      <w:r>
        <w:rPr>
          <w:rFonts w:ascii="Times New Roman" w:cs="Times New Roman" w:eastAsia="Times New Roman" w:hAnsi="Times New Roman"/>
          <w:b w:val="false"/>
          <w:bCs w:val="false"/>
          <w:i w:val="false"/>
          <w:iCs w:val="false"/>
          <w:sz w:val="22"/>
          <w:szCs w:val="22"/>
        </w:rPr>
        <w:t xml:space="preserve">3.5. To‘lov 30 (o‘ttiz) kalendar kundan ortiq kechiktirilsa, Ijrochi Buyurtmachini kamida 7 (yetti) kalendar kun oldin yozma ravishda ogohlantirib, Shartnomani bir tomonlama bekor qilishga va 6-bo‘limda nazarda tutilgan tartibda Buyurtmachi ma’lumotlarini eksport qilishni taklif etib, ularni platformadan o‘chirishga haqli.</w:t>
      </w:r>
    </w:p>
    <w:p>
      <w:pPr>
        <w:spacing w:after="160" w:before="320"/>
      </w:pPr>
      <w:r>
        <w:rPr>
          <w:rFonts w:ascii="Times New Roman" w:cs="Times New Roman" w:eastAsia="Times New Roman" w:hAnsi="Times New Roman"/>
          <w:b/>
          <w:bCs/>
          <w:sz w:val="24"/>
          <w:szCs w:val="24"/>
        </w:rPr>
        <w:t xml:space="preserve">4. XOTIRA VA RESURS LIMITLARI</w:t>
      </w:r>
    </w:p>
    <w:p>
      <w:pPr>
        <w:spacing w:after="160"/>
        <w:jc w:val="both"/>
      </w:pPr>
      <w:r>
        <w:rPr>
          <w:rFonts w:ascii="Times New Roman" w:cs="Times New Roman" w:eastAsia="Times New Roman" w:hAnsi="Times New Roman"/>
          <w:b w:val="false"/>
          <w:bCs w:val="false"/>
          <w:i w:val="false"/>
          <w:iCs w:val="false"/>
          <w:sz w:val="22"/>
          <w:szCs w:val="22"/>
        </w:rPr>
        <w:t xml:space="preserve">4.1. Har bir tarif platforma ichida cheklangan xotira hajmiga ega (1-ilova). Buyurtmachining foydalanishi ushbu limitdan oshgan taqdirda, Ijrochi Buyurtmachiga xabar beradi va yuqori tarifga o‘tishni yoki qo‘shimcha xotira sotib olishni taklif qiladi; qo‘shimcha xotira narxi Tomonlar tomonidan alohida kelishiladi.</w:t>
      </w:r>
    </w:p>
    <w:p>
      <w:pPr>
        <w:spacing w:after="160" w:before="320"/>
      </w:pPr>
      <w:r>
        <w:rPr>
          <w:rFonts w:ascii="Times New Roman" w:cs="Times New Roman" w:eastAsia="Times New Roman" w:hAnsi="Times New Roman"/>
          <w:b/>
          <w:bCs/>
          <w:sz w:val="24"/>
          <w:szCs w:val="24"/>
        </w:rPr>
        <w:t xml:space="preserve">5. TOMONLARNING HUQUQ VA MAJBURIYATLARI</w:t>
      </w:r>
    </w:p>
    <w:p>
      <w:pPr>
        <w:spacing w:after="160"/>
        <w:jc w:val="both"/>
      </w:pPr>
      <w:r>
        <w:rPr>
          <w:rFonts w:ascii="Times New Roman" w:cs="Times New Roman" w:eastAsia="Times New Roman" w:hAnsi="Times New Roman"/>
          <w:b w:val="false"/>
          <w:bCs w:val="false"/>
          <w:i w:val="false"/>
          <w:iCs w:val="false"/>
          <w:sz w:val="22"/>
          <w:szCs w:val="22"/>
        </w:rPr>
        <w:t xml:space="preserve">5.1. Ijrochi quyidagilarga majburdir: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platformaning texnik ishlashini, xavfsizligini va SSL sertifikati holatini ta’minlash;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tanlangan tarifga muvofiq zaxira nusxalash (backup) tartibini yuritish;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oylik texnik topshiriqlarni tanlangan tarifda belgilangan limit doirasida bajarish;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Buyurtmachining maxfiy ma’lumotlari xavfsizligini ta’minlash.</w:t>
      </w:r>
    </w:p>
    <w:p>
      <w:pPr>
        <w:spacing w:after="80" w:before="120"/>
        <w:jc w:val="both"/>
      </w:pPr>
      <w:r>
        <w:rPr>
          <w:rFonts w:ascii="Times New Roman" w:cs="Times New Roman" w:eastAsia="Times New Roman" w:hAnsi="Times New Roman"/>
          <w:b w:val="false"/>
          <w:bCs w:val="false"/>
          <w:i w:val="false"/>
          <w:iCs w:val="false"/>
          <w:sz w:val="22"/>
          <w:szCs w:val="22"/>
        </w:rPr>
        <w:t xml:space="preserve">5.2. Buyurtmachi quyidagilarga majburdir: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2.2-bandda ko‘rsatilgan materiallarni o‘z vaqtida taqdim etish;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3-bo‘limda belgilangan oylik to‘lovlarni o‘z vaqtida amalga oshirish;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maqolalarni yuklash, taqrizlash va boshqa muharrirlik-nashriyot vazifalarini mustaqil bajarish (1.5-band);</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platformadan noqonuniy maqsadlarda yoki uchinchi shaxslarning huquqlarini buzgan holda foydalanmaslik.</w:t>
      </w:r>
    </w:p>
    <w:p>
      <w:pPr>
        <w:spacing w:after="160" w:before="320"/>
      </w:pPr>
      <w:r>
        <w:rPr>
          <w:rFonts w:ascii="Times New Roman" w:cs="Times New Roman" w:eastAsia="Times New Roman" w:hAnsi="Times New Roman"/>
          <w:b/>
          <w:bCs/>
          <w:sz w:val="24"/>
          <w:szCs w:val="24"/>
        </w:rPr>
        <w:t xml:space="preserve">6. MA’LUMOTLARNI EKSPORT QILISH VA KO‘CHIRISH</w:t>
      </w:r>
    </w:p>
    <w:p>
      <w:pPr>
        <w:spacing w:after="160"/>
        <w:jc w:val="both"/>
      </w:pPr>
      <w:r>
        <w:rPr>
          <w:rFonts w:ascii="Times New Roman" w:cs="Times New Roman" w:eastAsia="Times New Roman" w:hAnsi="Times New Roman"/>
          <w:b w:val="false"/>
          <w:bCs w:val="false"/>
          <w:i w:val="false"/>
          <w:iCs w:val="false"/>
          <w:sz w:val="22"/>
          <w:szCs w:val="22"/>
        </w:rPr>
        <w:t xml:space="preserve">6.1. Shartnoma Buyurtmachi tomonidan to‘lov bo‘yicha majburiyatlar to‘liq bajarilgan holda bekor qilingan yoki tugatilgan taqdirda, Ijrochi Buyurtmachining yozma so‘roviga ko‘ra 10 (o‘n) ish kuni ichida jurnalning to‘liq ma’lumotlar eksportini (maqolalar, metama’lumotlar, foydalanuvchilar ro‘yxati) bepul taqdim etadi, bu orqali Buyurtmachi jurnalni boshqa platforma yoki mustaqil saytga ko‘chirishi mumkin.</w:t>
      </w:r>
    </w:p>
    <w:p>
      <w:pPr>
        <w:spacing w:after="160"/>
        <w:jc w:val="both"/>
      </w:pPr>
      <w:r>
        <w:rPr>
          <w:rFonts w:ascii="Times New Roman" w:cs="Times New Roman" w:eastAsia="Times New Roman" w:hAnsi="Times New Roman"/>
          <w:b w:val="false"/>
          <w:bCs w:val="false"/>
          <w:i w:val="false"/>
          <w:iCs w:val="false"/>
          <w:sz w:val="22"/>
          <w:szCs w:val="22"/>
        </w:rPr>
        <w:t xml:space="preserve">6.2. Agar Shartnoma 3.5-bandga muvofiq to‘lov bo‘yicha majburiyatlar buzilgani sababli bekor qilingan bo‘lsa, ma’lumotlar eksporti qarzdorlik to‘liq yopilgandan keyingina taqdim etiladi.</w:t>
      </w:r>
    </w:p>
    <w:p>
      <w:pPr>
        <w:spacing w:after="160" w:before="320"/>
      </w:pPr>
      <w:r>
        <w:rPr>
          <w:rFonts w:ascii="Times New Roman" w:cs="Times New Roman" w:eastAsia="Times New Roman" w:hAnsi="Times New Roman"/>
          <w:b/>
          <w:bCs/>
          <w:sz w:val="24"/>
          <w:szCs w:val="24"/>
        </w:rPr>
        <w:t xml:space="preserve">7. TOMONLARNING JAVOBGARLIGI</w:t>
      </w:r>
    </w:p>
    <w:p>
      <w:pPr>
        <w:spacing w:after="160"/>
        <w:jc w:val="both"/>
      </w:pPr>
      <w:r>
        <w:rPr>
          <w:rFonts w:ascii="Times New Roman" w:cs="Times New Roman" w:eastAsia="Times New Roman" w:hAnsi="Times New Roman"/>
          <w:b w:val="false"/>
          <w:bCs w:val="false"/>
          <w:i w:val="false"/>
          <w:iCs w:val="false"/>
          <w:sz w:val="22"/>
          <w:szCs w:val="22"/>
        </w:rPr>
        <w:t xml:space="preserve">7.1. Shartnoma bo‘yicha majburiyatlarini bajarmagan yoki lozim darajada bajarmagan Tomon ikkinchi Tomon oldida O‘zbekiston Respublikasi amaldagi qonunchiligiga muvofiq javobgar bo‘ladi.</w:t>
      </w:r>
    </w:p>
    <w:p>
      <w:pPr>
        <w:spacing w:after="160"/>
        <w:jc w:val="both"/>
      </w:pPr>
      <w:r>
        <w:rPr>
          <w:rFonts w:ascii="Times New Roman" w:cs="Times New Roman" w:eastAsia="Times New Roman" w:hAnsi="Times New Roman"/>
          <w:b w:val="false"/>
          <w:bCs w:val="false"/>
          <w:i w:val="false"/>
          <w:iCs w:val="false"/>
          <w:sz w:val="22"/>
          <w:szCs w:val="22"/>
        </w:rPr>
        <w:t xml:space="preserve">7.2. Ijrochi Buyurtmachi tomonidan yuklangan kontent mazmuni, uning ilmiy sifati yoki uchinchi shaxslar huquqlarini buzishi uchun javobgar emas — bunday javobgarlik to‘liq Buyurtmachi zimmasida qoladi.</w:t>
      </w:r>
    </w:p>
    <w:p>
      <w:pPr>
        <w:spacing w:after="160"/>
        <w:jc w:val="both"/>
      </w:pPr>
      <w:r>
        <w:rPr>
          <w:rFonts w:ascii="Times New Roman" w:cs="Times New Roman" w:eastAsia="Times New Roman" w:hAnsi="Times New Roman"/>
          <w:b w:val="false"/>
          <w:bCs w:val="false"/>
          <w:i w:val="false"/>
          <w:iCs w:val="false"/>
          <w:sz w:val="22"/>
          <w:szCs w:val="22"/>
        </w:rPr>
        <w:t xml:space="preserve">7.3. Har qanday holatda Ijrochining Buyurtmachi oldidagi umumiy moddiy javobgarligi Buyurtmachi tomonidan so‘nggi 1 (bir) oy uchun to‘langan summadan oshmaydi.</w:t>
      </w:r>
    </w:p>
    <w:p>
      <w:pPr>
        <w:spacing w:after="160" w:before="320"/>
      </w:pPr>
      <w:r>
        <w:rPr>
          <w:rFonts w:ascii="Times New Roman" w:cs="Times New Roman" w:eastAsia="Times New Roman" w:hAnsi="Times New Roman"/>
          <w:b/>
          <w:bCs/>
          <w:sz w:val="24"/>
          <w:szCs w:val="24"/>
        </w:rPr>
        <w:t xml:space="preserve">8. INTELLEKTUAL MULK HUQUQLARI</w:t>
      </w:r>
    </w:p>
    <w:p>
      <w:pPr>
        <w:spacing w:after="160"/>
        <w:jc w:val="both"/>
      </w:pPr>
      <w:r>
        <w:rPr>
          <w:rFonts w:ascii="Times New Roman" w:cs="Times New Roman" w:eastAsia="Times New Roman" w:hAnsi="Times New Roman"/>
          <w:b w:val="false"/>
          <w:bCs w:val="false"/>
          <w:i w:val="false"/>
          <w:iCs w:val="false"/>
          <w:sz w:val="22"/>
          <w:szCs w:val="22"/>
        </w:rPr>
        <w:t xml:space="preserve">8.1. Buyurtmachining jurnalidagi ilmiy maqolalar, matnlar va boshqa kontentga bo‘lgan mualliflik huquqlari to‘liq Buyurtmachi va tegishli mualliflarga tegishli bo‘lib qoladi.</w:t>
      </w:r>
    </w:p>
    <w:p>
      <w:pPr>
        <w:spacing w:after="160"/>
        <w:jc w:val="both"/>
      </w:pPr>
      <w:r>
        <w:rPr>
          <w:rFonts w:ascii="Times New Roman" w:cs="Times New Roman" w:eastAsia="Times New Roman" w:hAnsi="Times New Roman"/>
          <w:b w:val="false"/>
          <w:bCs w:val="false"/>
          <w:i w:val="false"/>
          <w:iCs w:val="false"/>
          <w:sz w:val="22"/>
          <w:szCs w:val="22"/>
        </w:rPr>
        <w:t xml:space="preserve">8.2. globalsciencehub.uz platformasining dizayni, dasturiy kodi va infratuzilmasi Ijrochiga tegishli bo‘lib qoladi va ushbu Shartnoma doirasida Buyurtmachiga o‘tmaydi.</w:t>
      </w:r>
    </w:p>
    <w:p>
      <w:pPr>
        <w:spacing w:after="160"/>
        <w:jc w:val="both"/>
      </w:pPr>
      <w:r>
        <w:rPr>
          <w:rFonts w:ascii="Times New Roman" w:cs="Times New Roman" w:eastAsia="Times New Roman" w:hAnsi="Times New Roman"/>
          <w:b w:val="false"/>
          <w:bCs w:val="false"/>
          <w:i w:val="false"/>
          <w:iCs w:val="false"/>
          <w:sz w:val="22"/>
          <w:szCs w:val="22"/>
        </w:rPr>
        <w:t xml:space="preserve">8.3. Open Journal Systems (OJS) dasturiy ta’minoti ochiq manbali (open source) bo‘lib, unga bo‘lgan mualliflik huquqlari Public Knowledge Project (PKP) tomonidan tartibga solinadi.</w:t>
      </w:r>
    </w:p>
    <w:p>
      <w:pPr>
        <w:spacing w:after="160" w:before="320"/>
      </w:pPr>
      <w:r>
        <w:rPr>
          <w:rFonts w:ascii="Times New Roman" w:cs="Times New Roman" w:eastAsia="Times New Roman" w:hAnsi="Times New Roman"/>
          <w:b/>
          <w:bCs/>
          <w:sz w:val="24"/>
          <w:szCs w:val="24"/>
        </w:rPr>
        <w:t xml:space="preserve">9. MAXFIYLIK</w:t>
      </w:r>
    </w:p>
    <w:p>
      <w:pPr>
        <w:spacing w:after="160"/>
        <w:jc w:val="both"/>
      </w:pPr>
      <w:r>
        <w:rPr>
          <w:rFonts w:ascii="Times New Roman" w:cs="Times New Roman" w:eastAsia="Times New Roman" w:hAnsi="Times New Roman"/>
          <w:b w:val="false"/>
          <w:bCs w:val="false"/>
          <w:i w:val="false"/>
          <w:iCs w:val="false"/>
          <w:sz w:val="22"/>
          <w:szCs w:val="22"/>
        </w:rPr>
        <w:t xml:space="preserve">9.1. Tomonlar ushbu Shartnomani ijro etish jarayonida bir-biri haqida olgan barcha maxfiy ma’lumotlarni (shu jumladan, kirish parollari, moliyaviy shartlar) uchinchi shaxslarga oshkor qilmaslikka majburdirlar, qonunchilikda nazarda tutilgan hollar bundan mustasno.</w:t>
      </w:r>
    </w:p>
    <w:p>
      <w:pPr>
        <w:spacing w:after="160" w:before="320"/>
      </w:pPr>
      <w:r>
        <w:rPr>
          <w:rFonts w:ascii="Times New Roman" w:cs="Times New Roman" w:eastAsia="Times New Roman" w:hAnsi="Times New Roman"/>
          <w:b/>
          <w:bCs/>
          <w:sz w:val="24"/>
          <w:szCs w:val="24"/>
        </w:rPr>
        <w:t xml:space="preserve">10. FORS-MAJOR HOLATLARI</w:t>
      </w:r>
    </w:p>
    <w:p>
      <w:pPr>
        <w:spacing w:after="160"/>
        <w:jc w:val="both"/>
      </w:pPr>
      <w:r>
        <w:rPr>
          <w:rFonts w:ascii="Times New Roman" w:cs="Times New Roman" w:eastAsia="Times New Roman" w:hAnsi="Times New Roman"/>
          <w:b w:val="false"/>
          <w:bCs w:val="false"/>
          <w:i w:val="false"/>
          <w:iCs w:val="false"/>
          <w:sz w:val="22"/>
          <w:szCs w:val="22"/>
        </w:rPr>
        <w:t xml:space="preserve">10.1. Tomonlar tabiiy ofatlar, favqulodda vaziyatlar, urush harakatlari, davlat organlarining Tomonlar faoliyatiga bevosita ta’sir ko‘rsatuvchi qarorlari kabi fors-major holatlari yuzaga kelgan taqdirda, ushbu holatlar davom etgan muddatga majburiyatlarni bajarishdan ozod etiladilar.</w:t>
      </w:r>
    </w:p>
    <w:p>
      <w:pPr>
        <w:spacing w:after="160"/>
        <w:jc w:val="both"/>
      </w:pPr>
      <w:r>
        <w:rPr>
          <w:rFonts w:ascii="Times New Roman" w:cs="Times New Roman" w:eastAsia="Times New Roman" w:hAnsi="Times New Roman"/>
          <w:b w:val="false"/>
          <w:bCs w:val="false"/>
          <w:i w:val="false"/>
          <w:iCs w:val="false"/>
          <w:sz w:val="22"/>
          <w:szCs w:val="22"/>
        </w:rPr>
        <w:t xml:space="preserve">10.2. Fors-major holati yuzaga kelgan Tomon ikkinchi Tomonni 5 (besh) kalendar kun ichida yozma ravishda xabardor qilishi shart.</w:t>
      </w:r>
    </w:p>
    <w:p>
      <w:pPr>
        <w:spacing w:after="160" w:before="320"/>
      </w:pPr>
      <w:r>
        <w:rPr>
          <w:rFonts w:ascii="Times New Roman" w:cs="Times New Roman" w:eastAsia="Times New Roman" w:hAnsi="Times New Roman"/>
          <w:b/>
          <w:bCs/>
          <w:sz w:val="24"/>
          <w:szCs w:val="24"/>
        </w:rPr>
        <w:t xml:space="preserve">11. NIZOLARNI HAL QILISH TARTIBI</w:t>
      </w:r>
    </w:p>
    <w:p>
      <w:pPr>
        <w:spacing w:after="160"/>
        <w:jc w:val="both"/>
      </w:pPr>
      <w:r>
        <w:rPr>
          <w:rFonts w:ascii="Times New Roman" w:cs="Times New Roman" w:eastAsia="Times New Roman" w:hAnsi="Times New Roman"/>
          <w:b w:val="false"/>
          <w:bCs w:val="false"/>
          <w:i w:val="false"/>
          <w:iCs w:val="false"/>
          <w:sz w:val="22"/>
          <w:szCs w:val="22"/>
        </w:rPr>
        <w:t xml:space="preserve">11.1. Ushbu Shartnomani ijro etish jarayonida yuzaga keladigan barcha nizo va kelishmovchiliklar, avvalo, Tomonlar o‘rtasida muzokaralar yo‘li bilan hal qilinadi.</w:t>
      </w:r>
    </w:p>
    <w:p>
      <w:pPr>
        <w:spacing w:after="160"/>
        <w:jc w:val="both"/>
      </w:pPr>
      <w:r>
        <w:rPr>
          <w:rFonts w:ascii="Times New Roman" w:cs="Times New Roman" w:eastAsia="Times New Roman" w:hAnsi="Times New Roman"/>
          <w:b w:val="false"/>
          <w:bCs w:val="false"/>
          <w:i w:val="false"/>
          <w:iCs w:val="false"/>
          <w:sz w:val="22"/>
          <w:szCs w:val="22"/>
        </w:rPr>
        <w:t xml:space="preserve">11.2. Muzokaralar orqali kelishuvga erishilmagan taqdirda, nizo O‘zbekiston Respublikasining amaldagi qonunchiligida belgilangan tartibda, tegishli sud organi orqali hal qilinadi.</w:t>
      </w:r>
    </w:p>
    <w:p>
      <w:pPr>
        <w:spacing w:after="160" w:before="320"/>
      </w:pPr>
      <w:r>
        <w:rPr>
          <w:rFonts w:ascii="Times New Roman" w:cs="Times New Roman" w:eastAsia="Times New Roman" w:hAnsi="Times New Roman"/>
          <w:b/>
          <w:bCs/>
          <w:sz w:val="24"/>
          <w:szCs w:val="24"/>
        </w:rPr>
        <w:t xml:space="preserve">12. SHARTNOMANING AMAL QILISH MUDDATI VA BEKOR QILISH TARTIBI</w:t>
      </w:r>
    </w:p>
    <w:p>
      <w:pPr>
        <w:spacing w:after="160"/>
        <w:jc w:val="both"/>
      </w:pPr>
      <w:r>
        <w:rPr>
          <w:rFonts w:ascii="Times New Roman" w:cs="Times New Roman" w:eastAsia="Times New Roman" w:hAnsi="Times New Roman"/>
          <w:b w:val="false"/>
          <w:bCs w:val="false"/>
          <w:i w:val="false"/>
          <w:iCs w:val="false"/>
          <w:sz w:val="22"/>
          <w:szCs w:val="22"/>
        </w:rPr>
        <w:t xml:space="preserve">12.1. Ushbu Shartnoma Tomonlar tomonidan imzolangan kundan e’tiboran kuchga kiradi va muddatsiz oylik obuna tartibida amal qiladi — har oy avtomatik ravishda keyingi oyga uzaytiriladi, toki Tomonlardan biri uni ushbu bo‘limda belgilangan tartibda bekor qilmaguncha.</w:t>
      </w:r>
    </w:p>
    <w:p>
      <w:pPr>
        <w:spacing w:after="160"/>
        <w:jc w:val="both"/>
      </w:pPr>
      <w:r>
        <w:rPr>
          <w:rFonts w:ascii="Times New Roman" w:cs="Times New Roman" w:eastAsia="Times New Roman" w:hAnsi="Times New Roman"/>
          <w:b w:val="false"/>
          <w:bCs w:val="false"/>
          <w:i w:val="false"/>
          <w:iCs w:val="false"/>
          <w:sz w:val="22"/>
          <w:szCs w:val="22"/>
        </w:rPr>
        <w:t xml:space="preserve">12.2. Har qanday Tomon ikkinchi Tomonni kamida 10 (o‘n) kalendar kun oldin yozma ravishda xabardor qilib, Shartnomani navbatdagi oy boshidan bekor qilishga haqli. Bunday holda, Buyurtmachi tomonidan to‘langan joriy oy uchun to‘lov qaytarilmaydi, biroq Xizmat joriy oy oxirigacha ko‘rsatiladi.</w:t>
      </w:r>
    </w:p>
    <w:p>
      <w:pPr>
        <w:spacing w:after="160"/>
        <w:jc w:val="both"/>
      </w:pPr>
      <w:r>
        <w:rPr>
          <w:rFonts w:ascii="Times New Roman" w:cs="Times New Roman" w:eastAsia="Times New Roman" w:hAnsi="Times New Roman"/>
          <w:b w:val="false"/>
          <w:bCs w:val="false"/>
          <w:i w:val="false"/>
          <w:iCs w:val="false"/>
          <w:sz w:val="22"/>
          <w:szCs w:val="22"/>
        </w:rPr>
        <w:t xml:space="preserve">12.3. Shartnomaga o‘zgartirish va qo‘shimchalar, shu jumladan tarifni almashtirish, Tomonlarning yozma kelishuviga asosan kiritiladi.</w:t>
      </w:r>
    </w:p>
    <w:p>
      <w:pPr>
        <w:spacing w:after="160" w:before="320"/>
      </w:pPr>
      <w:r>
        <w:rPr>
          <w:rFonts w:ascii="Times New Roman" w:cs="Times New Roman" w:eastAsia="Times New Roman" w:hAnsi="Times New Roman"/>
          <w:b/>
          <w:bCs/>
          <w:sz w:val="24"/>
          <w:szCs w:val="24"/>
        </w:rPr>
        <w:t xml:space="preserve">13. YAKUNIY QOIDALAR</w:t>
      </w:r>
    </w:p>
    <w:p>
      <w:pPr>
        <w:spacing w:after="160"/>
        <w:jc w:val="both"/>
      </w:pPr>
      <w:r>
        <w:rPr>
          <w:rFonts w:ascii="Times New Roman" w:cs="Times New Roman" w:eastAsia="Times New Roman" w:hAnsi="Times New Roman"/>
          <w:b w:val="false"/>
          <w:bCs w:val="false"/>
          <w:i w:val="false"/>
          <w:iCs w:val="false"/>
          <w:sz w:val="22"/>
          <w:szCs w:val="22"/>
        </w:rPr>
        <w:t xml:space="preserve">13.1. Ushbu Shartnoma bir xil yuridik kuchga ega bo‘lgan, har bir Tomon uchun bittadan nusxada, jami 2 (ikki) nusxada davlat tilida tuzildi.</w:t>
      </w:r>
    </w:p>
    <w:p>
      <w:pPr>
        <w:spacing w:after="160"/>
        <w:jc w:val="both"/>
      </w:pPr>
      <w:r>
        <w:rPr>
          <w:rFonts w:ascii="Times New Roman" w:cs="Times New Roman" w:eastAsia="Times New Roman" w:hAnsi="Times New Roman"/>
          <w:b w:val="false"/>
          <w:bCs w:val="false"/>
          <w:i w:val="false"/>
          <w:iCs w:val="false"/>
          <w:sz w:val="22"/>
          <w:szCs w:val="22"/>
        </w:rPr>
        <w:t xml:space="preserve">13.2. Shartnomada ko‘zda tutilmagan masalalar O‘zbekiston Respublikasining amaldagi qonunchiligiga muvofiq tartibga solinadi.</w:t>
      </w:r>
    </w:p>
    <w:p>
      <w:pPr>
        <w:spacing w:after="160"/>
        <w:jc w:val="both"/>
      </w:pPr>
      <w:r>
        <w:rPr>
          <w:rFonts w:ascii="Times New Roman" w:cs="Times New Roman" w:eastAsia="Times New Roman" w:hAnsi="Times New Roman"/>
          <w:b w:val="false"/>
          <w:bCs w:val="false"/>
          <w:i w:val="false"/>
          <w:iCs w:val="false"/>
          <w:sz w:val="22"/>
          <w:szCs w:val="22"/>
        </w:rPr>
        <w:t xml:space="preserve">13.3. Ushbu Shartnomaning 1-ilovasi (“Tariflar jadvali”) Shartnomaning ajralmas qismini tashkil etadi.</w:t>
      </w:r>
    </w:p>
    <w:p>
      <w:pPr>
        <w:spacing w:after="300"/>
      </w:pPr>
    </w:p>
    <w:p>
      <w:pPr>
        <w:spacing w:after="160" w:before="320"/>
      </w:pPr>
      <w:r>
        <w:rPr>
          <w:rFonts w:ascii="Times New Roman" w:cs="Times New Roman" w:eastAsia="Times New Roman" w:hAnsi="Times New Roman"/>
          <w:b/>
          <w:bCs/>
          <w:sz w:val="24"/>
          <w:szCs w:val="24"/>
        </w:rPr>
        <w:t xml:space="preserve">14. TOMONLARNING MANZILLARI VA REKVIZITLARI</w:t>
      </w:r>
    </w:p>
    <w:tbl>
      <w:tblPr>
        <w:tblW w:type="pct" w:w="100%"/>
        <w:tblBorders>
          <w:top w:val="none"/>
          <w:left w:val="none"/>
          <w:bottom w:val="none"/>
          <w:right w:val="none"/>
          <w:insideH w:val="none"/>
          <w:insideV w:val="none"/>
        </w:tblBorders>
      </w:tblPr>
      <w:tblGrid>
        <w:gridCol w:w="4820"/>
        <w:gridCol w:w="4820"/>
      </w:tblGrid>
      <w:tr>
        <w:tc>
          <w:tcPr>
            <w:tcW w:type="dxa" w:w="4820"/>
          </w:tcPr>
          <w:p>
            <w:pPr>
              <w:spacing w:after="100"/>
              <w:jc w:val="both"/>
            </w:pPr>
            <w:r>
              <w:rPr>
                <w:rFonts w:ascii="Times New Roman" w:cs="Times New Roman" w:eastAsia="Times New Roman" w:hAnsi="Times New Roman"/>
                <w:b/>
                <w:bCs/>
                <w:i w:val="false"/>
                <w:iCs w:val="false"/>
                <w:sz w:val="22"/>
                <w:szCs w:val="22"/>
              </w:rPr>
              <w:t xml:space="preserve">IJROCHI:</w:t>
            </w:r>
          </w:p>
          <w:p>
            <w:pPr>
              <w:spacing w:after="40"/>
              <w:jc w:val="both"/>
            </w:pPr>
            <w:r>
              <w:rPr>
                <w:rFonts w:ascii="Times New Roman" w:cs="Times New Roman" w:eastAsia="Times New Roman" w:hAnsi="Times New Roman"/>
                <w:b w:val="false"/>
                <w:bCs w:val="false"/>
                <w:i w:val="false"/>
                <w:iCs w:val="false"/>
                <w:sz w:val="22"/>
                <w:szCs w:val="22"/>
              </w:rPr>
              <w:t xml:space="preserve">“RUM PUBLISHING GROUP” MChJ</w:t>
            </w:r>
          </w:p>
          <w:p>
            <w:pPr>
              <w:spacing w:after="40"/>
              <w:jc w:val="both"/>
            </w:pPr>
            <w:r>
              <w:rPr>
                <w:rFonts w:ascii="Times New Roman" w:cs="Times New Roman" w:eastAsia="Times New Roman" w:hAnsi="Times New Roman"/>
                <w:b w:val="false"/>
                <w:bCs w:val="false"/>
                <w:i w:val="false"/>
                <w:iCs w:val="false"/>
                <w:sz w:val="22"/>
                <w:szCs w:val="22"/>
              </w:rPr>
              <w:t xml:space="preserve">Manzil: Qashqadaryo viloyati, Qarshi shahri, Mustaqillik shoh ko‘chasi 15-46-uy</w:t>
            </w:r>
          </w:p>
          <w:p>
            <w:pPr>
              <w:spacing w:after="40"/>
              <w:jc w:val="both"/>
            </w:pPr>
            <w:r>
              <w:rPr>
                <w:rFonts w:ascii="Times New Roman" w:cs="Times New Roman" w:eastAsia="Times New Roman" w:hAnsi="Times New Roman"/>
                <w:b w:val="false"/>
                <w:bCs w:val="false"/>
                <w:i w:val="false"/>
                <w:iCs w:val="false"/>
                <w:sz w:val="22"/>
                <w:szCs w:val="22"/>
              </w:rPr>
              <w:t xml:space="preserve">STIR: 312893995</w:t>
            </w:r>
          </w:p>
          <w:p>
            <w:pPr>
              <w:spacing w:after="40"/>
              <w:jc w:val="both"/>
            </w:pPr>
            <w:r>
              <w:rPr>
                <w:rFonts w:ascii="Times New Roman" w:cs="Times New Roman" w:eastAsia="Times New Roman" w:hAnsi="Times New Roman"/>
                <w:b w:val="false"/>
                <w:bCs w:val="false"/>
                <w:i w:val="false"/>
                <w:iCs w:val="false"/>
                <w:sz w:val="22"/>
                <w:szCs w:val="22"/>
              </w:rPr>
              <w:t xml:space="preserve">X/r: 2020 8000 4074 2923 2001</w:t>
            </w:r>
          </w:p>
          <w:p>
            <w:pPr>
              <w:spacing w:after="40"/>
              <w:jc w:val="both"/>
            </w:pPr>
            <w:r>
              <w:rPr>
                <w:rFonts w:ascii="Times New Roman" w:cs="Times New Roman" w:eastAsia="Times New Roman" w:hAnsi="Times New Roman"/>
                <w:b w:val="false"/>
                <w:bCs w:val="false"/>
                <w:i w:val="false"/>
                <w:iCs w:val="false"/>
                <w:sz w:val="22"/>
                <w:szCs w:val="22"/>
              </w:rPr>
              <w:t xml:space="preserve">Bank: Biznesni rivojlantirish banki</w:t>
            </w:r>
          </w:p>
          <w:p>
            <w:pPr>
              <w:spacing w:after="40"/>
              <w:jc w:val="both"/>
            </w:pPr>
            <w:r>
              <w:rPr>
                <w:rFonts w:ascii="Times New Roman" w:cs="Times New Roman" w:eastAsia="Times New Roman" w:hAnsi="Times New Roman"/>
                <w:b w:val="false"/>
                <w:bCs w:val="false"/>
                <w:i w:val="false"/>
                <w:iCs w:val="false"/>
                <w:sz w:val="22"/>
                <w:szCs w:val="22"/>
              </w:rPr>
              <w:t xml:space="preserve">MFO: 01037</w:t>
            </w:r>
          </w:p>
          <w:p>
            <w:pPr>
              <w:spacing w:after="40"/>
              <w:jc w:val="both"/>
            </w:pPr>
            <w:r>
              <w:rPr>
                <w:rFonts w:ascii="Times New Roman" w:cs="Times New Roman" w:eastAsia="Times New Roman" w:hAnsi="Times New Roman"/>
                <w:b w:val="false"/>
                <w:bCs w:val="false"/>
                <w:i w:val="false"/>
                <w:iCs w:val="false"/>
                <w:sz w:val="22"/>
                <w:szCs w:val="22"/>
              </w:rPr>
              <w:t xml:space="preserve">Tel: +998 90 673 64 33</w:t>
            </w:r>
          </w:p>
          <w:p>
            <w:pPr>
              <w:spacing w:after="260"/>
              <w:jc w:val="both"/>
            </w:pPr>
            <w:r>
              <w:rPr>
                <w:rFonts w:ascii="Times New Roman" w:cs="Times New Roman" w:eastAsia="Times New Roman" w:hAnsi="Times New Roman"/>
                <w:b w:val="false"/>
                <w:bCs w:val="false"/>
                <w:i w:val="false"/>
                <w:iCs w:val="false"/>
                <w:sz w:val="22"/>
                <w:szCs w:val="22"/>
              </w:rPr>
              <w:t xml:space="preserve">Email: support@rumpublishing.uz</w:t>
            </w:r>
          </w:p>
          <w:p>
            <w:pPr>
              <w:spacing w:after="40"/>
              <w:jc w:val="both"/>
            </w:pPr>
            <w:r>
              <w:rPr>
                <w:rFonts w:ascii="Times New Roman" w:cs="Times New Roman" w:eastAsia="Times New Roman" w:hAnsi="Times New Roman"/>
                <w:b w:val="false"/>
                <w:bCs w:val="false"/>
                <w:i w:val="false"/>
                <w:iCs w:val="false"/>
                <w:sz w:val="22"/>
                <w:szCs w:val="22"/>
              </w:rPr>
              <w:t xml:space="preserve">Direktor: ____________ I.A.Yormurotov</w:t>
            </w:r>
          </w:p>
          <w:p>
            <w:pPr>
              <w:spacing w:after="0"/>
              <w:jc w:val="both"/>
            </w:pPr>
            <w:r>
              <w:rPr>
                <w:rFonts w:ascii="Times New Roman" w:cs="Times New Roman" w:eastAsia="Times New Roman" w:hAnsi="Times New Roman"/>
                <w:b w:val="false"/>
                <w:bCs w:val="false"/>
                <w:i w:val="false"/>
                <w:iCs w:val="false"/>
                <w:sz w:val="22"/>
                <w:szCs w:val="22"/>
              </w:rPr>
              <w:t xml:space="preserve">M.O.</w:t>
            </w:r>
          </w:p>
        </w:tc>
        <w:tc>
          <w:tcPr>
            <w:tcW w:type="dxa" w:w="4820"/>
          </w:tcPr>
          <w:p>
            <w:pPr>
              <w:spacing w:after="100"/>
              <w:jc w:val="both"/>
            </w:pPr>
            <w:r>
              <w:rPr>
                <w:rFonts w:ascii="Times New Roman" w:cs="Times New Roman" w:eastAsia="Times New Roman" w:hAnsi="Times New Roman"/>
                <w:b/>
                <w:bCs/>
                <w:i w:val="false"/>
                <w:iCs w:val="false"/>
                <w:sz w:val="22"/>
                <w:szCs w:val="22"/>
              </w:rPr>
              <w:t xml:space="preserve">BUYURTMACHI:</w:t>
            </w:r>
          </w:p>
          <w:p>
            <w:pPr>
              <w:spacing w:after="40"/>
              <w:jc w:val="both"/>
            </w:pPr>
            <w:r>
              <w:rPr>
                <w:rFonts w:ascii="Times New Roman" w:cs="Times New Roman" w:eastAsia="Times New Roman" w:hAnsi="Times New Roman"/>
                <w:b w:val="false"/>
                <w:bCs w:val="false"/>
                <w:i w:val="false"/>
                <w:iCs w:val="false"/>
                <w:sz w:val="22"/>
                <w:szCs w:val="22"/>
              </w:rPr>
              <w:t xml:space="preserve">[Tashkilot to‘liq nomi]</w:t>
            </w:r>
          </w:p>
          <w:p>
            <w:pPr>
              <w:spacing w:after="40"/>
              <w:jc w:val="both"/>
            </w:pPr>
            <w:r>
              <w:rPr>
                <w:rFonts w:ascii="Times New Roman" w:cs="Times New Roman" w:eastAsia="Times New Roman" w:hAnsi="Times New Roman"/>
                <w:b w:val="false"/>
                <w:bCs w:val="false"/>
                <w:i w:val="false"/>
                <w:iCs w:val="false"/>
                <w:sz w:val="22"/>
                <w:szCs w:val="22"/>
              </w:rPr>
              <w:t xml:space="preserve">Manzil: [ ]</w:t>
            </w:r>
          </w:p>
          <w:p>
            <w:pPr>
              <w:spacing w:after="40"/>
              <w:jc w:val="both"/>
            </w:pPr>
            <w:r>
              <w:rPr>
                <w:rFonts w:ascii="Times New Roman" w:cs="Times New Roman" w:eastAsia="Times New Roman" w:hAnsi="Times New Roman"/>
                <w:b w:val="false"/>
                <w:bCs w:val="false"/>
                <w:i w:val="false"/>
                <w:iCs w:val="false"/>
                <w:sz w:val="22"/>
                <w:szCs w:val="22"/>
              </w:rPr>
              <w:t xml:space="preserve">STIR: [ ]</w:t>
            </w:r>
          </w:p>
          <w:p>
            <w:pPr>
              <w:spacing w:after="40"/>
              <w:jc w:val="both"/>
            </w:pPr>
            <w:r>
              <w:rPr>
                <w:rFonts w:ascii="Times New Roman" w:cs="Times New Roman" w:eastAsia="Times New Roman" w:hAnsi="Times New Roman"/>
                <w:b w:val="false"/>
                <w:bCs w:val="false"/>
                <w:i w:val="false"/>
                <w:iCs w:val="false"/>
                <w:sz w:val="22"/>
                <w:szCs w:val="22"/>
              </w:rPr>
              <w:t xml:space="preserve">X/r: [ ]</w:t>
            </w:r>
          </w:p>
          <w:p>
            <w:pPr>
              <w:spacing w:after="40"/>
              <w:jc w:val="both"/>
            </w:pPr>
            <w:r>
              <w:rPr>
                <w:rFonts w:ascii="Times New Roman" w:cs="Times New Roman" w:eastAsia="Times New Roman" w:hAnsi="Times New Roman"/>
                <w:b w:val="false"/>
                <w:bCs w:val="false"/>
                <w:i w:val="false"/>
                <w:iCs w:val="false"/>
                <w:sz w:val="22"/>
                <w:szCs w:val="22"/>
              </w:rPr>
              <w:t xml:space="preserve">Bank: [ ]</w:t>
            </w:r>
          </w:p>
          <w:p>
            <w:pPr>
              <w:spacing w:after="40"/>
              <w:jc w:val="both"/>
            </w:pPr>
            <w:r>
              <w:rPr>
                <w:rFonts w:ascii="Times New Roman" w:cs="Times New Roman" w:eastAsia="Times New Roman" w:hAnsi="Times New Roman"/>
                <w:b w:val="false"/>
                <w:bCs w:val="false"/>
                <w:i w:val="false"/>
                <w:iCs w:val="false"/>
                <w:sz w:val="22"/>
                <w:szCs w:val="22"/>
              </w:rPr>
              <w:t xml:space="preserve">MFO: [ ]</w:t>
            </w:r>
          </w:p>
          <w:p>
            <w:pPr>
              <w:spacing w:after="40"/>
              <w:jc w:val="both"/>
            </w:pPr>
            <w:r>
              <w:rPr>
                <w:rFonts w:ascii="Times New Roman" w:cs="Times New Roman" w:eastAsia="Times New Roman" w:hAnsi="Times New Roman"/>
                <w:b w:val="false"/>
                <w:bCs w:val="false"/>
                <w:i w:val="false"/>
                <w:iCs w:val="false"/>
                <w:sz w:val="22"/>
                <w:szCs w:val="22"/>
              </w:rPr>
              <w:t xml:space="preserve">Tel: [ ]</w:t>
            </w:r>
          </w:p>
          <w:p>
            <w:pPr>
              <w:spacing w:after="260"/>
              <w:jc w:val="both"/>
            </w:pPr>
            <w:r>
              <w:rPr>
                <w:rFonts w:ascii="Times New Roman" w:cs="Times New Roman" w:eastAsia="Times New Roman" w:hAnsi="Times New Roman"/>
                <w:b w:val="false"/>
                <w:bCs w:val="false"/>
                <w:i w:val="false"/>
                <w:iCs w:val="false"/>
                <w:sz w:val="22"/>
                <w:szCs w:val="22"/>
              </w:rPr>
              <w:t xml:space="preserve">Email: [ ]</w:t>
            </w:r>
          </w:p>
          <w:p>
            <w:pPr>
              <w:spacing w:after="40"/>
              <w:jc w:val="both"/>
            </w:pPr>
            <w:r>
              <w:rPr>
                <w:rFonts w:ascii="Times New Roman" w:cs="Times New Roman" w:eastAsia="Times New Roman" w:hAnsi="Times New Roman"/>
                <w:b w:val="false"/>
                <w:bCs w:val="false"/>
                <w:i w:val="false"/>
                <w:iCs w:val="false"/>
                <w:sz w:val="22"/>
                <w:szCs w:val="22"/>
              </w:rPr>
              <w:t xml:space="preserve">Rahbar: ____________ / [F.I.Sh.] /</w:t>
            </w:r>
          </w:p>
          <w:p>
            <w:pPr>
              <w:spacing w:after="0"/>
              <w:jc w:val="both"/>
            </w:pPr>
            <w:r>
              <w:rPr>
                <w:rFonts w:ascii="Times New Roman" w:cs="Times New Roman" w:eastAsia="Times New Roman" w:hAnsi="Times New Roman"/>
                <w:b w:val="false"/>
                <w:bCs w:val="false"/>
                <w:i w:val="false"/>
                <w:iCs w:val="false"/>
                <w:sz w:val="22"/>
                <w:szCs w:val="22"/>
              </w:rPr>
              <w:t xml:space="preserve">M.O.</w:t>
            </w:r>
          </w:p>
        </w:tc>
      </w:tr>
    </w:tbl>
    <w:p>
      <w:r>
        <w:br w:type="page"/>
      </w:r>
    </w:p>
    <w:p>
      <w:pPr>
        <w:spacing w:after="40"/>
        <w:jc w:val="right"/>
      </w:pPr>
      <w:r>
        <w:rPr>
          <w:rFonts w:ascii="Times New Roman" w:cs="Times New Roman" w:eastAsia="Times New Roman" w:hAnsi="Times New Roman"/>
          <w:i/>
          <w:iCs/>
          <w:sz w:val="20"/>
          <w:szCs w:val="20"/>
        </w:rPr>
        <w:t xml:space="preserve">№[ ] - sonli Shartnomaga</w:t>
      </w:r>
    </w:p>
    <w:p>
      <w:pPr>
        <w:spacing w:after="300"/>
        <w:jc w:val="right"/>
      </w:pPr>
      <w:r>
        <w:rPr>
          <w:rFonts w:ascii="Times New Roman" w:cs="Times New Roman" w:eastAsia="Times New Roman" w:hAnsi="Times New Roman"/>
          <w:b/>
          <w:bCs/>
          <w:sz w:val="20"/>
          <w:szCs w:val="20"/>
        </w:rPr>
        <w:t xml:space="preserve">1-ILOVA</w:t>
      </w:r>
    </w:p>
    <w:p>
      <w:pPr>
        <w:spacing w:after="260"/>
        <w:jc w:val="center"/>
      </w:pPr>
      <w:r>
        <w:rPr>
          <w:rFonts w:ascii="Times New Roman" w:cs="Times New Roman" w:eastAsia="Times New Roman" w:hAnsi="Times New Roman"/>
          <w:b/>
          <w:bCs/>
          <w:sz w:val="26"/>
          <w:szCs w:val="26"/>
        </w:rPr>
        <w:t xml:space="preserve">TARIFLAR JADVALI</w:t>
      </w:r>
    </w:p>
    <w:p>
      <w:pPr>
        <w:spacing w:after="160"/>
        <w:jc w:val="both"/>
      </w:pPr>
      <w:r>
        <w:rPr>
          <w:rFonts w:ascii="Times New Roman" w:cs="Times New Roman" w:eastAsia="Times New Roman" w:hAnsi="Times New Roman"/>
          <w:b w:val="false"/>
          <w:bCs w:val="false"/>
          <w:i w:val="false"/>
          <w:iCs w:val="false"/>
          <w:sz w:val="22"/>
          <w:szCs w:val="22"/>
        </w:rPr>
        <w:t xml:space="preserve">Ushbu ilova Buyurtmachi tanlagan tarif bo‘yicha xizmatlar tarkibini, limitlarni va oylik narxlarni belgilaydi. Buyurtmachi quyidagi uchta tarifdan birini tanlaydi (Shartnomaning 1.4-bandida ko‘rsatiladi). Har bir tarifda ko‘rsatilgan xizmatlar undan pastroq tarifdagi barcha xizmatlarni ham o‘z ichiga oladi.</w:t>
      </w:r>
    </w:p>
    <w:p>
      <w:pPr>
        <w:shd w:fill="E8E8E8" w:val="clear"/>
        <w:spacing w:after="120" w:before="300"/>
      </w:pPr>
      <w:r>
        <w:rPr>
          <w:rFonts w:ascii="Times New Roman" w:cs="Times New Roman" w:eastAsia="Times New Roman" w:hAnsi="Times New Roman"/>
          <w:b/>
          <w:bCs/>
          <w:sz w:val="24"/>
          <w:szCs w:val="24"/>
        </w:rPr>
        <w:t xml:space="preserve">BASIC TARIF</w:t>
      </w:r>
    </w:p>
    <w:p>
      <w:pPr>
        <w:spacing w:after="80"/>
        <w:jc w:val="both"/>
      </w:pPr>
      <w:r>
        <w:rPr>
          <w:rFonts w:ascii="Times New Roman" w:cs="Times New Roman" w:eastAsia="Times New Roman" w:hAnsi="Times New Roman"/>
          <w:b/>
          <w:bCs/>
          <w:i w:val="false"/>
          <w:iCs w:val="false"/>
          <w:sz w:val="22"/>
          <w:szCs w:val="22"/>
        </w:rPr>
        <w:t xml:space="preserve">Xizmatlar tarkibi: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 ta jurnal saytini platformaga joylashtirish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10 GB xotira (platforma ichida)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Sayt ishlash holatini monitoring qilish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SSL holatini nazorat qilish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Oyiga 2 tagacha kichik texnik topshiriq</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Haftalik backup nazorati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E-mail orqali texnik yordam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Bazaviy xavfsizlik tekshiruvi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Texnik murojaatlar kabineti</w:t>
      </w:r>
    </w:p>
    <w:p>
      <w:pPr>
        <w:spacing w:after="80" w:before="200"/>
        <w:jc w:val="both"/>
      </w:pPr>
      <w:r>
        <w:rPr>
          <w:rFonts w:ascii="Times New Roman" w:cs="Times New Roman" w:eastAsia="Times New Roman" w:hAnsi="Times New Roman"/>
          <w:b/>
          <w:bCs/>
          <w:i w:val="false"/>
          <w:iCs w:val="false"/>
          <w:sz w:val="22"/>
          <w:szCs w:val="22"/>
        </w:rPr>
        <w:t xml:space="preserve">Oylik 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oylik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1-oy narxi (chegirmali)</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Oylik texnik xizmat obunasi — muddatsiz, oylik obuna</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300 000 so‘m / oy</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150 000 so‘m / oy</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Platforma ichidagi xotira / Oylik texnik topshiriqlar limiti</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10 GB xotira / oyiga 2 tagacha kichik texnik topshiriq</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STANDARD TARIF</w:t>
      </w:r>
    </w:p>
    <w:p>
      <w:pPr>
        <w:spacing w:after="80"/>
        <w:jc w:val="both"/>
      </w:pPr>
      <w:r>
        <w:rPr>
          <w:rFonts w:ascii="Times New Roman" w:cs="Times New Roman" w:eastAsia="Times New Roman" w:hAnsi="Times New Roman"/>
          <w:b/>
          <w:bCs/>
          <w:i w:val="false"/>
          <w:iCs w:val="false"/>
          <w:sz w:val="22"/>
          <w:szCs w:val="22"/>
        </w:rPr>
        <w:t xml:space="preserve">Xizmatlar tarkibi: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Basic tarifidagi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15 GB xotira (platforma ichida)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Oyiga 5 tagacha texnik topshiriq</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OJS yangilanishlarini nazorat qilish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Menyu va sahifalarga kichik o‘zgartirishlar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Elektron pochta yuborish tizimini nazorat qilish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DOI metama’lumotlari bo‘yicha texnik yordam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Google Scholar uchun bazaviy texnik optimizatsiya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Oylik texnik hisobot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Tezlashtirilgan texnik yordam</w:t>
      </w:r>
    </w:p>
    <w:p>
      <w:pPr>
        <w:spacing w:after="80" w:before="200"/>
        <w:jc w:val="both"/>
      </w:pPr>
      <w:r>
        <w:rPr>
          <w:rFonts w:ascii="Times New Roman" w:cs="Times New Roman" w:eastAsia="Times New Roman" w:hAnsi="Times New Roman"/>
          <w:b/>
          <w:bCs/>
          <w:i w:val="false"/>
          <w:iCs w:val="false"/>
          <w:sz w:val="22"/>
          <w:szCs w:val="22"/>
        </w:rPr>
        <w:t xml:space="preserve">Oylik 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oylik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1-oy narxi (chegirmali)</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Oylik texnik xizmat obunasi — muddatsiz, oylik obuna</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400 000 so‘m / oy</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200 000 so‘m / oy</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Platforma ichidagi xotira / Oylik texnik topshiriqlar limiti</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15 GB xotira / oyiga 5 tagacha texnik topshiriq</w:t>
            </w:r>
          </w:p>
        </w:tc>
      </w:tr>
    </w:tbl>
    <w:p>
      <w:pPr>
        <w:spacing w:after="200"/>
      </w:pPr>
    </w:p>
    <w:p>
      <w:pPr>
        <w:shd w:fill="E8E8E8" w:val="clear"/>
        <w:spacing w:after="120" w:before="300"/>
      </w:pPr>
      <w:r>
        <w:rPr>
          <w:rFonts w:ascii="Times New Roman" w:cs="Times New Roman" w:eastAsia="Times New Roman" w:hAnsi="Times New Roman"/>
          <w:b/>
          <w:bCs/>
          <w:sz w:val="24"/>
          <w:szCs w:val="24"/>
        </w:rPr>
        <w:t xml:space="preserve">PREMIUM TARIF</w:t>
      </w:r>
    </w:p>
    <w:p>
      <w:pPr>
        <w:spacing w:after="80"/>
        <w:jc w:val="both"/>
      </w:pPr>
      <w:r>
        <w:rPr>
          <w:rFonts w:ascii="Times New Roman" w:cs="Times New Roman" w:eastAsia="Times New Roman" w:hAnsi="Times New Roman"/>
          <w:b/>
          <w:bCs/>
          <w:i w:val="false"/>
          <w:iCs w:val="false"/>
          <w:sz w:val="22"/>
          <w:szCs w:val="22"/>
        </w:rPr>
        <w:t xml:space="preserve">Xizmatlar tarkibi: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Standard tarifidagi barcha xizmatlar</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25 GB xotira (platforma ichida)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Oyiga 10 tagacha texnik topshiriq</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Ustuvor texnik yordam</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Telegram orqali texnik aloqa</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OJS sozlamalarini kengaytirilgan boshqarish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Crossref va DOI bo‘yicha texnik maslahat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Xavfsizlik monitoringi</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Zararli fayllarni tekshirish</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Kengaytirilgan oylik hisobot</w:t>
      </w:r>
    </w:p>
    <w:p>
      <w:pPr>
        <w:pStyle w:val="ListParagraph"/>
        <w:numPr>
          <w:ilvl w:val="0"/>
          <w:numId w:val="2"/>
        </w:numPr>
        <w:spacing w:after="80"/>
      </w:pPr>
      <w:r>
        <w:rPr>
          <w:rFonts w:ascii="Times New Roman" w:cs="Times New Roman" w:eastAsia="Times New Roman" w:hAnsi="Times New Roman"/>
          <w:b w:val="false"/>
          <w:bCs w:val="false"/>
          <w:sz w:val="22"/>
          <w:szCs w:val="22"/>
        </w:rPr>
        <w:t xml:space="preserve">Shaxsiy menejer</w:t>
      </w:r>
    </w:p>
    <w:p>
      <w:pPr>
        <w:spacing w:after="80" w:before="200"/>
        <w:jc w:val="both"/>
      </w:pPr>
      <w:r>
        <w:rPr>
          <w:rFonts w:ascii="Times New Roman" w:cs="Times New Roman" w:eastAsia="Times New Roman" w:hAnsi="Times New Roman"/>
          <w:b/>
          <w:bCs/>
          <w:i w:val="false"/>
          <w:iCs w:val="false"/>
          <w:sz w:val="22"/>
          <w:szCs w:val="22"/>
        </w:rPr>
        <w:t xml:space="preserve">Oylik narx:</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400"/>
        <w:gridCol w:w="3200"/>
        <w:gridCol w:w="3200"/>
      </w:tblGrid>
      <w:tr>
        <w:tc>
          <w:tcPr>
            <w:tcW w:type="dxa" w:w="4400"/>
            <w:shd w:fill="D9D9D9" w:val="clear"/>
          </w:tcPr>
          <w:p>
            <w:pPr>
              <w:spacing w:after="0"/>
              <w:jc w:val="left"/>
            </w:pPr>
            <w:r>
              <w:rPr>
                <w:rFonts w:ascii="Times New Roman" w:cs="Times New Roman" w:eastAsia="Times New Roman" w:hAnsi="Times New Roman"/>
                <w:b/>
                <w:bCs/>
                <w:i w:val="false"/>
                <w:iCs w:val="false"/>
                <w:sz w:val="22"/>
                <w:szCs w:val="22"/>
              </w:rPr>
              <w:t xml:space="preserve">Xizmat</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To‘liq oylik narx</w:t>
            </w:r>
          </w:p>
        </w:tc>
        <w:tc>
          <w:tcPr>
            <w:tcW w:type="dxa" w:w="3200"/>
            <w:shd w:fill="D9D9D9" w:val="clear"/>
          </w:tcPr>
          <w:p>
            <w:pPr>
              <w:spacing w:after="0"/>
              <w:jc w:val="center"/>
            </w:pPr>
            <w:r>
              <w:rPr>
                <w:rFonts w:ascii="Times New Roman" w:cs="Times New Roman" w:eastAsia="Times New Roman" w:hAnsi="Times New Roman"/>
                <w:b/>
                <w:bCs/>
                <w:i w:val="false"/>
                <w:iCs w:val="false"/>
                <w:sz w:val="22"/>
                <w:szCs w:val="22"/>
              </w:rPr>
              <w:t xml:space="preserve">1-oy narxi (chegirmali)</w:t>
            </w:r>
          </w:p>
        </w:tc>
      </w:tr>
      <w:tr>
        <w:tc>
          <w:tcPr>
            <w:tcW w:type="dxa" w:w="4400"/>
          </w:tcPr>
          <w:p>
            <w:pPr>
              <w:spacing w:after="0"/>
              <w:jc w:val="left"/>
            </w:pPr>
            <w:r>
              <w:rPr>
                <w:rFonts w:ascii="Times New Roman" w:cs="Times New Roman" w:eastAsia="Times New Roman" w:hAnsi="Times New Roman"/>
                <w:b/>
                <w:bCs/>
                <w:i w:val="false"/>
                <w:iCs w:val="false"/>
                <w:sz w:val="22"/>
                <w:szCs w:val="22"/>
              </w:rPr>
              <w:t xml:space="preserve">Oylik texnik xizmat obunasi — muddatsiz, oylik obuna</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500 000 so‘m / oy</w:t>
            </w:r>
          </w:p>
        </w:tc>
        <w:tc>
          <w:tcPr>
            <w:tcW w:type="dxa" w:w="3200"/>
          </w:tcPr>
          <w:p>
            <w:pPr>
              <w:spacing w:after="0"/>
              <w:jc w:val="center"/>
            </w:pPr>
            <w:r>
              <w:rPr>
                <w:rFonts w:ascii="Times New Roman" w:cs="Times New Roman" w:eastAsia="Times New Roman" w:hAnsi="Times New Roman"/>
                <w:b/>
                <w:bCs/>
                <w:i w:val="false"/>
                <w:iCs w:val="false"/>
                <w:sz w:val="22"/>
                <w:szCs w:val="22"/>
              </w:rPr>
              <w:t xml:space="preserve">250 000 so‘m / oy</w:t>
            </w:r>
          </w:p>
        </w:tc>
      </w:tr>
      <w:tr>
        <w:tc>
          <w:tcPr>
            <w:tcW w:type="dxa" w:w="4400"/>
          </w:tcPr>
          <w:p>
            <w:pPr>
              <w:spacing w:after="0"/>
              <w:jc w:val="left"/>
            </w:pPr>
            <w:r>
              <w:rPr>
                <w:rFonts w:ascii="Times New Roman" w:cs="Times New Roman" w:eastAsia="Times New Roman" w:hAnsi="Times New Roman"/>
                <w:b w:val="false"/>
                <w:bCs w:val="false"/>
                <w:i w:val="false"/>
                <w:iCs w:val="false"/>
                <w:sz w:val="22"/>
                <w:szCs w:val="22"/>
              </w:rPr>
              <w:t xml:space="preserve">Platforma ichidagi xotira / Oylik texnik topshiriqlar limiti</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w:t>
            </w:r>
          </w:p>
        </w:tc>
        <w:tc>
          <w:tcPr>
            <w:tcW w:type="dxa" w:w="3200"/>
          </w:tcPr>
          <w:p>
            <w:pPr>
              <w:spacing w:after="0"/>
              <w:jc w:val="center"/>
            </w:pPr>
            <w:r>
              <w:rPr>
                <w:rFonts w:ascii="Times New Roman" w:cs="Times New Roman" w:eastAsia="Times New Roman" w:hAnsi="Times New Roman"/>
                <w:b w:val="false"/>
                <w:bCs w:val="false"/>
                <w:i w:val="false"/>
                <w:iCs w:val="false"/>
                <w:sz w:val="22"/>
                <w:szCs w:val="22"/>
              </w:rPr>
              <w:t xml:space="preserve">25 GB xotira / oyiga 10 tagacha texnik topshiriq</w:t>
            </w:r>
          </w:p>
        </w:tc>
      </w:tr>
    </w:tbl>
    <w:p>
      <w:pPr>
        <w:spacing w:after="200"/>
      </w:pPr>
    </w:p>
    <w:p>
      <w:pPr>
        <w:spacing w:after="160"/>
        <w:jc w:val="both"/>
      </w:pPr>
      <w:r>
        <w:rPr>
          <w:rFonts w:ascii="Times New Roman" w:cs="Times New Roman" w:eastAsia="Times New Roman" w:hAnsi="Times New Roman"/>
          <w:b w:val="false"/>
          <w:bCs w:val="false"/>
          <w:i/>
          <w:iCs/>
          <w:sz w:val="20"/>
          <w:szCs w:val="20"/>
        </w:rPr>
        <w:t xml:space="preserve">Izoh: tariflarning to‘liq tarkibi rumpublishing.uz saytidagi tegishli tarif kartochkalarida to‘liq keltirilgan bo‘lib, ushbu ilova shu rasmiy ro‘yxatga asoslanadi. Alohida domen bilan mustaqil sayt yaratish va hosting xizmati ushbu tariflarga kirmaydi (Shartnomaning 1.2-bandi).</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Ushbu ilova Shartnomaning ajralmas qismi bo‘lib, Tomonlar tomonidan imzolanadi:</w:t>
      </w:r>
    </w:p>
    <w:p>
      <w:pPr>
        <w:spacing w:after="200"/>
      </w:pPr>
    </w:p>
    <w:p>
      <w:pPr>
        <w:spacing w:after="160"/>
        <w:jc w:val="both"/>
      </w:pPr>
      <w:r>
        <w:rPr>
          <w:rFonts w:ascii="Times New Roman" w:cs="Times New Roman" w:eastAsia="Times New Roman" w:hAnsi="Times New Roman"/>
          <w:b w:val="false"/>
          <w:bCs w:val="false"/>
          <w:i w:val="false"/>
          <w:iCs w:val="false"/>
          <w:sz w:val="22"/>
          <w:szCs w:val="22"/>
        </w:rPr>
        <w:t xml:space="preserve">IJROCHI: ____________ / I.A.Yormurotov /            BUYURTMACHI: ____________ / [F.I.Sh.] /</w:t>
      </w:r>
    </w:p>
    <w:sectPr>
      <w:pgSz w:w="11906" w:h="16838" w:orient="portrait"/>
      <w:pgMar w:top="1134" w:right="850"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2026-07-21T19:15:39.048Z</dcterms:created>
  <dcterms:modified xsi:type="dcterms:W3CDTF">2026-07-21T19:15:39.049Z</dcterms:modified>
</cp:coreProperties>
</file>

<file path=docProps/custom.xml><?xml version="1.0" encoding="utf-8"?>
<Properties xmlns="http://schemas.openxmlformats.org/officeDocument/2006/custom-properties" xmlns:vt="http://schemas.openxmlformats.org/officeDocument/2006/docPropsVTypes"/>
</file>